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011B" w14:textId="6E45E845" w:rsidR="001D028B" w:rsidRDefault="003B0ABF" w:rsidP="003B0ABF">
      <w:pPr>
        <w:jc w:val="center"/>
        <w:rPr>
          <w:sz w:val="28"/>
          <w:szCs w:val="28"/>
        </w:rPr>
      </w:pPr>
      <w:r>
        <w:rPr>
          <w:sz w:val="28"/>
          <w:szCs w:val="28"/>
        </w:rPr>
        <w:t xml:space="preserve">Policies Committee Meeting </w:t>
      </w:r>
      <w:r w:rsidR="00BC0463">
        <w:rPr>
          <w:sz w:val="28"/>
          <w:szCs w:val="28"/>
        </w:rPr>
        <w:t>S</w:t>
      </w:r>
      <w:r>
        <w:rPr>
          <w:sz w:val="28"/>
          <w:szCs w:val="28"/>
        </w:rPr>
        <w:t>ummary</w:t>
      </w:r>
    </w:p>
    <w:p w14:paraId="2A03AF4C" w14:textId="459C626C" w:rsidR="003B0ABF" w:rsidRDefault="00D5282B" w:rsidP="003B0ABF">
      <w:pPr>
        <w:jc w:val="center"/>
        <w:rPr>
          <w:sz w:val="28"/>
          <w:szCs w:val="28"/>
        </w:rPr>
      </w:pPr>
      <w:r>
        <w:rPr>
          <w:sz w:val="28"/>
          <w:szCs w:val="28"/>
        </w:rPr>
        <w:t>January 25</w:t>
      </w:r>
      <w:r w:rsidR="003B0ABF">
        <w:rPr>
          <w:sz w:val="28"/>
          <w:szCs w:val="28"/>
        </w:rPr>
        <w:t>, 202</w:t>
      </w:r>
      <w:r>
        <w:rPr>
          <w:sz w:val="28"/>
          <w:szCs w:val="28"/>
        </w:rPr>
        <w:t>3</w:t>
      </w:r>
    </w:p>
    <w:p w14:paraId="2A3D930B" w14:textId="1B7D4E70" w:rsidR="003B0ABF" w:rsidRDefault="003B0ABF">
      <w:pPr>
        <w:rPr>
          <w:sz w:val="28"/>
          <w:szCs w:val="28"/>
        </w:rPr>
      </w:pPr>
      <w:r>
        <w:rPr>
          <w:sz w:val="28"/>
          <w:szCs w:val="28"/>
        </w:rPr>
        <w:t>Present: Mary Sue</w:t>
      </w:r>
      <w:r w:rsidR="00DB0389">
        <w:rPr>
          <w:sz w:val="28"/>
          <w:szCs w:val="28"/>
        </w:rPr>
        <w:t xml:space="preserve"> Wilson</w:t>
      </w:r>
      <w:r>
        <w:rPr>
          <w:sz w:val="28"/>
          <w:szCs w:val="28"/>
        </w:rPr>
        <w:t>,</w:t>
      </w:r>
      <w:r w:rsidR="00B45B7D" w:rsidRPr="00B45B7D">
        <w:rPr>
          <w:sz w:val="28"/>
          <w:szCs w:val="28"/>
        </w:rPr>
        <w:t xml:space="preserve"> </w:t>
      </w:r>
      <w:r>
        <w:rPr>
          <w:sz w:val="28"/>
          <w:szCs w:val="28"/>
        </w:rPr>
        <w:t>Jennifer</w:t>
      </w:r>
      <w:r w:rsidR="00DB0389">
        <w:rPr>
          <w:sz w:val="28"/>
          <w:szCs w:val="28"/>
        </w:rPr>
        <w:t xml:space="preserve"> Pearson</w:t>
      </w:r>
    </w:p>
    <w:p w14:paraId="52F4E3CB" w14:textId="656D57AF" w:rsidR="003B0ABF" w:rsidRDefault="003B0ABF">
      <w:pPr>
        <w:rPr>
          <w:sz w:val="28"/>
          <w:szCs w:val="28"/>
        </w:rPr>
      </w:pPr>
      <w:r>
        <w:rPr>
          <w:sz w:val="28"/>
          <w:szCs w:val="28"/>
        </w:rPr>
        <w:t xml:space="preserve">Absent: </w:t>
      </w:r>
      <w:r w:rsidR="009F73FF">
        <w:rPr>
          <w:sz w:val="28"/>
          <w:szCs w:val="28"/>
        </w:rPr>
        <w:t xml:space="preserve">Jody </w:t>
      </w:r>
      <w:proofErr w:type="spellStart"/>
      <w:r w:rsidR="009F73FF">
        <w:rPr>
          <w:sz w:val="28"/>
          <w:szCs w:val="28"/>
        </w:rPr>
        <w:t>Suhrbier</w:t>
      </w:r>
      <w:proofErr w:type="spellEnd"/>
      <w:r w:rsidR="009F73FF">
        <w:rPr>
          <w:sz w:val="28"/>
          <w:szCs w:val="28"/>
        </w:rPr>
        <w:t>, Casandra</w:t>
      </w:r>
      <w:r w:rsidR="00882F38">
        <w:rPr>
          <w:sz w:val="28"/>
          <w:szCs w:val="28"/>
        </w:rPr>
        <w:t xml:space="preserve"> </w:t>
      </w:r>
      <w:proofErr w:type="spellStart"/>
      <w:r w:rsidR="00882F38">
        <w:rPr>
          <w:sz w:val="28"/>
          <w:szCs w:val="28"/>
        </w:rPr>
        <w:t>Batdorf</w:t>
      </w:r>
      <w:proofErr w:type="spellEnd"/>
    </w:p>
    <w:p w14:paraId="461C39ED" w14:textId="47DB2C8B" w:rsidR="003B0ABF" w:rsidRDefault="003B0ABF">
      <w:pPr>
        <w:rPr>
          <w:sz w:val="28"/>
          <w:szCs w:val="28"/>
        </w:rPr>
      </w:pPr>
      <w:r>
        <w:rPr>
          <w:sz w:val="28"/>
          <w:szCs w:val="28"/>
        </w:rPr>
        <w:t xml:space="preserve">Next meeting is </w:t>
      </w:r>
      <w:r w:rsidR="00C94BA3">
        <w:rPr>
          <w:sz w:val="28"/>
          <w:szCs w:val="28"/>
        </w:rPr>
        <w:t xml:space="preserve">Wednesday, May 24, </w:t>
      </w:r>
      <w:proofErr w:type="gramStart"/>
      <w:r w:rsidR="00C94BA3">
        <w:rPr>
          <w:sz w:val="28"/>
          <w:szCs w:val="28"/>
        </w:rPr>
        <w:t>2023</w:t>
      </w:r>
      <w:proofErr w:type="gramEnd"/>
      <w:r w:rsidR="00C94BA3">
        <w:rPr>
          <w:sz w:val="28"/>
          <w:szCs w:val="28"/>
        </w:rPr>
        <w:t xml:space="preserve"> </w:t>
      </w:r>
      <w:r>
        <w:rPr>
          <w:sz w:val="28"/>
          <w:szCs w:val="28"/>
        </w:rPr>
        <w:t>at 5:30 pm.</w:t>
      </w:r>
    </w:p>
    <w:p w14:paraId="2AAA3F6E" w14:textId="77777777" w:rsidR="003B0ABF" w:rsidRDefault="003B0ABF">
      <w:pPr>
        <w:rPr>
          <w:sz w:val="28"/>
          <w:szCs w:val="28"/>
        </w:rPr>
      </w:pPr>
    </w:p>
    <w:p w14:paraId="635B4BEC" w14:textId="09B1A500" w:rsidR="003B0ABF" w:rsidRDefault="003B0ABF">
      <w:pPr>
        <w:rPr>
          <w:sz w:val="28"/>
          <w:szCs w:val="28"/>
        </w:rPr>
      </w:pPr>
      <w:r>
        <w:rPr>
          <w:sz w:val="28"/>
          <w:szCs w:val="28"/>
        </w:rPr>
        <w:t>Policies discussed/reviewed:</w:t>
      </w:r>
    </w:p>
    <w:p w14:paraId="3D929D5E" w14:textId="0269A214" w:rsidR="000708C7" w:rsidRDefault="00296E3D">
      <w:pPr>
        <w:rPr>
          <w:i/>
          <w:iCs/>
          <w:sz w:val="28"/>
          <w:szCs w:val="28"/>
        </w:rPr>
      </w:pPr>
      <w:r>
        <w:rPr>
          <w:i/>
          <w:iCs/>
          <w:sz w:val="28"/>
          <w:szCs w:val="28"/>
        </w:rPr>
        <w:t xml:space="preserve">Jody </w:t>
      </w:r>
      <w:r w:rsidR="00882F38">
        <w:rPr>
          <w:i/>
          <w:iCs/>
          <w:sz w:val="28"/>
          <w:szCs w:val="28"/>
        </w:rPr>
        <w:t>i</w:t>
      </w:r>
      <w:r w:rsidR="009F73FF">
        <w:rPr>
          <w:i/>
          <w:iCs/>
          <w:sz w:val="28"/>
          <w:szCs w:val="28"/>
        </w:rPr>
        <w:t>dentified three</w:t>
      </w:r>
      <w:r>
        <w:rPr>
          <w:i/>
          <w:iCs/>
          <w:sz w:val="28"/>
          <w:szCs w:val="28"/>
        </w:rPr>
        <w:t xml:space="preserve"> policies for review</w:t>
      </w:r>
      <w:r w:rsidR="009F73FF">
        <w:rPr>
          <w:i/>
          <w:iCs/>
          <w:sz w:val="28"/>
          <w:szCs w:val="28"/>
        </w:rPr>
        <w:t>, Accounting, Legacy Fund, &amp; Statement of Investment</w:t>
      </w:r>
      <w:r w:rsidR="006A1E48">
        <w:rPr>
          <w:i/>
          <w:iCs/>
          <w:sz w:val="28"/>
          <w:szCs w:val="28"/>
        </w:rPr>
        <w:t>.</w:t>
      </w:r>
      <w:r w:rsidR="009F73FF">
        <w:rPr>
          <w:i/>
          <w:iCs/>
          <w:sz w:val="28"/>
          <w:szCs w:val="28"/>
        </w:rPr>
        <w:t xml:space="preserve">   Jody also </w:t>
      </w:r>
      <w:r w:rsidR="001B29FB">
        <w:rPr>
          <w:i/>
          <w:iCs/>
          <w:sz w:val="28"/>
          <w:szCs w:val="28"/>
        </w:rPr>
        <w:t>invited</w:t>
      </w:r>
      <w:r w:rsidR="009F73FF">
        <w:rPr>
          <w:i/>
          <w:iCs/>
          <w:sz w:val="28"/>
          <w:szCs w:val="28"/>
        </w:rPr>
        <w:t xml:space="preserve"> committee input on: (a) adding Associate Director to the Accounting policy as a </w:t>
      </w:r>
      <w:proofErr w:type="spellStart"/>
      <w:r w:rsidR="009F73FF">
        <w:rPr>
          <w:i/>
          <w:iCs/>
          <w:sz w:val="28"/>
          <w:szCs w:val="28"/>
        </w:rPr>
        <w:t>signator</w:t>
      </w:r>
      <w:proofErr w:type="spellEnd"/>
      <w:r w:rsidR="009F73FF">
        <w:rPr>
          <w:i/>
          <w:iCs/>
          <w:sz w:val="28"/>
          <w:szCs w:val="28"/>
        </w:rPr>
        <w:t>; and (b) whether the committee thinks a “weapons free workplace” expectation should be included in a board</w:t>
      </w:r>
      <w:r w:rsidR="001B29FB">
        <w:rPr>
          <w:i/>
          <w:iCs/>
          <w:sz w:val="28"/>
          <w:szCs w:val="28"/>
        </w:rPr>
        <w:t>-</w:t>
      </w:r>
      <w:r w:rsidR="009F73FF">
        <w:rPr>
          <w:i/>
          <w:iCs/>
          <w:sz w:val="28"/>
          <w:szCs w:val="28"/>
        </w:rPr>
        <w:t>approved policy or instead captured in the DRC’s internal accident prevention</w:t>
      </w:r>
      <w:r w:rsidR="00885DE5">
        <w:rPr>
          <w:i/>
          <w:iCs/>
          <w:sz w:val="28"/>
          <w:szCs w:val="28"/>
        </w:rPr>
        <w:t xml:space="preserve"> operations</w:t>
      </w:r>
      <w:r w:rsidR="009F73FF">
        <w:rPr>
          <w:i/>
          <w:iCs/>
          <w:sz w:val="28"/>
          <w:szCs w:val="28"/>
        </w:rPr>
        <w:t xml:space="preserve"> policy.</w:t>
      </w:r>
      <w:r w:rsidR="006A1E48">
        <w:rPr>
          <w:i/>
          <w:iCs/>
          <w:sz w:val="28"/>
          <w:szCs w:val="28"/>
        </w:rPr>
        <w:t xml:space="preserve">  </w:t>
      </w:r>
      <w:r w:rsidR="00882F38">
        <w:rPr>
          <w:i/>
          <w:iCs/>
          <w:sz w:val="28"/>
          <w:szCs w:val="28"/>
        </w:rPr>
        <w:t xml:space="preserve">Committee member Casandra </w:t>
      </w:r>
      <w:proofErr w:type="spellStart"/>
      <w:r w:rsidR="00882F38">
        <w:rPr>
          <w:i/>
          <w:iCs/>
          <w:sz w:val="28"/>
          <w:szCs w:val="28"/>
        </w:rPr>
        <w:t>Batdorf</w:t>
      </w:r>
      <w:proofErr w:type="spellEnd"/>
      <w:r w:rsidR="00882F38">
        <w:rPr>
          <w:i/>
          <w:iCs/>
          <w:sz w:val="28"/>
          <w:szCs w:val="28"/>
        </w:rPr>
        <w:t xml:space="preserve"> provided thoughts on these issues </w:t>
      </w:r>
      <w:r w:rsidR="001B29FB">
        <w:rPr>
          <w:i/>
          <w:iCs/>
          <w:sz w:val="28"/>
          <w:szCs w:val="28"/>
        </w:rPr>
        <w:t xml:space="preserve">by email </w:t>
      </w:r>
      <w:r w:rsidR="00882F38">
        <w:rPr>
          <w:i/>
          <w:iCs/>
          <w:sz w:val="28"/>
          <w:szCs w:val="28"/>
        </w:rPr>
        <w:t>in advance</w:t>
      </w:r>
      <w:r w:rsidR="001B29FB">
        <w:rPr>
          <w:i/>
          <w:iCs/>
          <w:sz w:val="28"/>
          <w:szCs w:val="28"/>
        </w:rPr>
        <w:t xml:space="preserve"> of the meeting</w:t>
      </w:r>
      <w:r w:rsidR="00882F38">
        <w:rPr>
          <w:i/>
          <w:iCs/>
          <w:sz w:val="28"/>
          <w:szCs w:val="28"/>
        </w:rPr>
        <w:t>.  During the meeting, c</w:t>
      </w:r>
      <w:r>
        <w:rPr>
          <w:i/>
          <w:iCs/>
          <w:sz w:val="28"/>
          <w:szCs w:val="28"/>
        </w:rPr>
        <w:t>ommittee members</w:t>
      </w:r>
      <w:r w:rsidR="001B29FB">
        <w:rPr>
          <w:i/>
          <w:iCs/>
          <w:sz w:val="28"/>
          <w:szCs w:val="28"/>
        </w:rPr>
        <w:t xml:space="preserve"> Pearson and</w:t>
      </w:r>
      <w:r w:rsidR="00882F38">
        <w:rPr>
          <w:i/>
          <w:iCs/>
          <w:sz w:val="28"/>
          <w:szCs w:val="28"/>
        </w:rPr>
        <w:t xml:space="preserve"> Wilson discussed thee issues and the three p</w:t>
      </w:r>
      <w:r>
        <w:rPr>
          <w:i/>
          <w:iCs/>
          <w:sz w:val="28"/>
          <w:szCs w:val="28"/>
        </w:rPr>
        <w:t>olicies in the order</w:t>
      </w:r>
      <w:r w:rsidR="00D016C1">
        <w:rPr>
          <w:i/>
          <w:iCs/>
          <w:sz w:val="28"/>
          <w:szCs w:val="28"/>
        </w:rPr>
        <w:t xml:space="preserve"> captured below</w:t>
      </w:r>
      <w:r w:rsidR="00835B2B">
        <w:rPr>
          <w:i/>
          <w:iCs/>
          <w:sz w:val="28"/>
          <w:szCs w:val="28"/>
        </w:rPr>
        <w:t>.</w:t>
      </w:r>
      <w:r w:rsidR="00EC5BB2">
        <w:rPr>
          <w:i/>
          <w:iCs/>
          <w:sz w:val="28"/>
          <w:szCs w:val="28"/>
        </w:rPr>
        <w:t xml:space="preserve"> </w:t>
      </w:r>
    </w:p>
    <w:p w14:paraId="0BDD409A" w14:textId="353B8259" w:rsidR="00E01C06" w:rsidRPr="00296E3D" w:rsidRDefault="000708C7">
      <w:pPr>
        <w:rPr>
          <w:i/>
          <w:iCs/>
          <w:sz w:val="28"/>
          <w:szCs w:val="28"/>
        </w:rPr>
      </w:pPr>
      <w:r>
        <w:rPr>
          <w:i/>
          <w:iCs/>
          <w:sz w:val="28"/>
          <w:szCs w:val="28"/>
        </w:rPr>
        <w:t>All three members agreed that the Associate Director should be added to the Accounting Policy (see details below).   All three members agreed a “weapons free workplace” provision could be included in an internal accident prevention operations policy, although Wilson and Pearson agreed in</w:t>
      </w:r>
      <w:r w:rsidR="001B29FB">
        <w:rPr>
          <w:i/>
          <w:iCs/>
          <w:sz w:val="28"/>
          <w:szCs w:val="28"/>
        </w:rPr>
        <w:t xml:space="preserve"> their</w:t>
      </w:r>
      <w:r>
        <w:rPr>
          <w:i/>
          <w:iCs/>
          <w:sz w:val="28"/>
          <w:szCs w:val="28"/>
        </w:rPr>
        <w:t xml:space="preserve"> discussion that if Jody thinks having </w:t>
      </w:r>
      <w:r w:rsidR="00885DE5">
        <w:rPr>
          <w:i/>
          <w:iCs/>
          <w:sz w:val="28"/>
          <w:szCs w:val="28"/>
        </w:rPr>
        <w:t xml:space="preserve">Board approval for such a provision would be helpful, we </w:t>
      </w:r>
      <w:proofErr w:type="gramStart"/>
      <w:r w:rsidR="00885DE5">
        <w:rPr>
          <w:i/>
          <w:iCs/>
          <w:sz w:val="28"/>
          <w:szCs w:val="28"/>
        </w:rPr>
        <w:t>would recommend</w:t>
      </w:r>
      <w:proofErr w:type="gramEnd"/>
      <w:r w:rsidR="00885DE5">
        <w:rPr>
          <w:i/>
          <w:iCs/>
          <w:sz w:val="28"/>
          <w:szCs w:val="28"/>
        </w:rPr>
        <w:t xml:space="preserve"> that approach.</w:t>
      </w:r>
      <w:r w:rsidR="00EC5BB2">
        <w:rPr>
          <w:i/>
          <w:iCs/>
          <w:sz w:val="28"/>
          <w:szCs w:val="28"/>
        </w:rPr>
        <w:t xml:space="preserve"> </w:t>
      </w:r>
    </w:p>
    <w:p w14:paraId="62CA0CD4" w14:textId="54C28F0E" w:rsidR="003B0ABF" w:rsidRPr="000A70A3" w:rsidRDefault="000708C7" w:rsidP="000A70A3">
      <w:pPr>
        <w:pStyle w:val="ListParagraph"/>
        <w:numPr>
          <w:ilvl w:val="0"/>
          <w:numId w:val="1"/>
        </w:numPr>
        <w:rPr>
          <w:sz w:val="28"/>
          <w:szCs w:val="28"/>
        </w:rPr>
      </w:pPr>
      <w:r>
        <w:rPr>
          <w:sz w:val="28"/>
          <w:szCs w:val="28"/>
        </w:rPr>
        <w:t>Accounting</w:t>
      </w:r>
    </w:p>
    <w:p w14:paraId="26DF4566" w14:textId="59969F56" w:rsidR="006A1E48" w:rsidRDefault="00E53A50" w:rsidP="003B0ABF">
      <w:pPr>
        <w:ind w:left="720"/>
        <w:rPr>
          <w:sz w:val="28"/>
          <w:szCs w:val="28"/>
        </w:rPr>
      </w:pPr>
      <w:r w:rsidRPr="09B54CD2">
        <w:rPr>
          <w:sz w:val="28"/>
          <w:szCs w:val="28"/>
        </w:rPr>
        <w:t xml:space="preserve">The committee </w:t>
      </w:r>
      <w:r w:rsidR="00205639" w:rsidRPr="09B54CD2">
        <w:rPr>
          <w:sz w:val="28"/>
          <w:szCs w:val="28"/>
        </w:rPr>
        <w:t xml:space="preserve">discussed possible </w:t>
      </w:r>
      <w:proofErr w:type="gramStart"/>
      <w:r w:rsidR="00205639" w:rsidRPr="09B54CD2">
        <w:rPr>
          <w:sz w:val="28"/>
          <w:szCs w:val="28"/>
        </w:rPr>
        <w:t>edits, if</w:t>
      </w:r>
      <w:proofErr w:type="gramEnd"/>
      <w:r w:rsidR="00205639" w:rsidRPr="09B54CD2">
        <w:rPr>
          <w:sz w:val="28"/>
          <w:szCs w:val="28"/>
        </w:rPr>
        <w:t xml:space="preserve"> current practice supports such edits</w:t>
      </w:r>
      <w:r w:rsidRPr="09B54CD2">
        <w:rPr>
          <w:sz w:val="28"/>
          <w:szCs w:val="28"/>
        </w:rPr>
        <w:t>.</w:t>
      </w:r>
      <w:r w:rsidR="00205639" w:rsidRPr="09B54CD2">
        <w:rPr>
          <w:sz w:val="28"/>
          <w:szCs w:val="28"/>
        </w:rPr>
        <w:t xml:space="preserve">   On page one, paragraph 3 – should there/can there be a backup to the cloud-based storage of data?   </w:t>
      </w:r>
      <w:r w:rsidR="42EAAF06" w:rsidRPr="09B54CD2">
        <w:rPr>
          <w:color w:val="00B050"/>
          <w:sz w:val="28"/>
          <w:szCs w:val="28"/>
        </w:rPr>
        <w:t xml:space="preserve">Cloud-based systems used include a mirrored backup.  </w:t>
      </w:r>
      <w:r w:rsidR="00205639" w:rsidRPr="09B54CD2">
        <w:rPr>
          <w:sz w:val="28"/>
          <w:szCs w:val="28"/>
        </w:rPr>
        <w:t xml:space="preserve">On page two, paragraphs 5 (Bank Accounts) and 6 (Investment Accounts), does current process still rely on hard-copy bank statements and investment statements?  </w:t>
      </w:r>
      <w:r w:rsidR="0737686A" w:rsidRPr="09B54CD2">
        <w:rPr>
          <w:color w:val="00B050"/>
          <w:sz w:val="28"/>
          <w:szCs w:val="28"/>
        </w:rPr>
        <w:t xml:space="preserve">Electronic statements are what’s </w:t>
      </w:r>
      <w:r w:rsidR="0737686A" w:rsidRPr="09B54CD2">
        <w:rPr>
          <w:color w:val="00B050"/>
          <w:sz w:val="28"/>
          <w:szCs w:val="28"/>
        </w:rPr>
        <w:lastRenderedPageBreak/>
        <w:t xml:space="preserve">used.  </w:t>
      </w:r>
      <w:r w:rsidR="00205639" w:rsidRPr="09B54CD2">
        <w:rPr>
          <w:sz w:val="28"/>
          <w:szCs w:val="28"/>
        </w:rPr>
        <w:t>If yes, leave language as is.   If no, edit language to reflect how review is done with use of electronic statements.</w:t>
      </w:r>
      <w:r w:rsidRPr="09B54CD2">
        <w:rPr>
          <w:sz w:val="28"/>
          <w:szCs w:val="28"/>
        </w:rPr>
        <w:t xml:space="preserve">  </w:t>
      </w:r>
    </w:p>
    <w:p w14:paraId="4A54DD58" w14:textId="2F51149C" w:rsidR="00E02A84" w:rsidRDefault="00E02A84" w:rsidP="003B0ABF">
      <w:pPr>
        <w:ind w:left="720"/>
        <w:rPr>
          <w:sz w:val="28"/>
          <w:szCs w:val="28"/>
        </w:rPr>
      </w:pPr>
      <w:r>
        <w:rPr>
          <w:sz w:val="28"/>
          <w:szCs w:val="28"/>
        </w:rPr>
        <w:t>On page 1, under Reporting paragraph, the committee recommends replacing “</w:t>
      </w:r>
      <w:r w:rsidR="00F91981">
        <w:rPr>
          <w:sz w:val="28"/>
          <w:szCs w:val="28"/>
        </w:rPr>
        <w:t>distributed” with “made available” so that an email that refers board members to the portal would satisfy this requirement.</w:t>
      </w:r>
    </w:p>
    <w:p w14:paraId="5490633C" w14:textId="506D731B" w:rsidR="00F91981" w:rsidRDefault="00F91981" w:rsidP="003B0ABF">
      <w:pPr>
        <w:ind w:left="720"/>
        <w:rPr>
          <w:sz w:val="28"/>
          <w:szCs w:val="28"/>
        </w:rPr>
      </w:pPr>
      <w:r>
        <w:rPr>
          <w:sz w:val="28"/>
          <w:szCs w:val="28"/>
        </w:rPr>
        <w:t>Page 3, third paragraph under Cash Disbursements, insert “or the Associate Director” after Checks are signed by the Executive Director . . .”</w:t>
      </w:r>
    </w:p>
    <w:p w14:paraId="11E5AF59" w14:textId="561165EA" w:rsidR="00F91981" w:rsidRDefault="00F91981" w:rsidP="003B0ABF">
      <w:pPr>
        <w:ind w:left="720"/>
        <w:rPr>
          <w:sz w:val="28"/>
          <w:szCs w:val="28"/>
        </w:rPr>
      </w:pPr>
      <w:r w:rsidRPr="09B54CD2">
        <w:rPr>
          <w:sz w:val="28"/>
          <w:szCs w:val="28"/>
        </w:rPr>
        <w:t>Wilson and Pearson discussed Unallowable Costs (page 4, single paragraph).   We discussed whether this term was understandable.  If unallowable costs refer to costs that cannot be reimbursed or paid for, we recommend a sentence that defines that term.</w:t>
      </w:r>
      <w:r w:rsidR="001B29FB" w:rsidRPr="09B54CD2">
        <w:rPr>
          <w:sz w:val="28"/>
          <w:szCs w:val="28"/>
        </w:rPr>
        <w:t xml:space="preserve"> </w:t>
      </w:r>
      <w:r w:rsidR="383029FB" w:rsidRPr="09B54CD2">
        <w:rPr>
          <w:color w:val="00B050"/>
          <w:sz w:val="28"/>
          <w:szCs w:val="28"/>
        </w:rPr>
        <w:t>Unallowable costs vary by contract and by agency; this clause is meant to highlight that attention must be paid to contract management and invoicing.</w:t>
      </w:r>
    </w:p>
    <w:p w14:paraId="03F9C2B4" w14:textId="6959EC63" w:rsidR="003B0ABF" w:rsidRDefault="000708C7" w:rsidP="000A70A3">
      <w:pPr>
        <w:pStyle w:val="ListParagraph"/>
        <w:numPr>
          <w:ilvl w:val="0"/>
          <w:numId w:val="1"/>
        </w:numPr>
        <w:rPr>
          <w:sz w:val="28"/>
          <w:szCs w:val="28"/>
        </w:rPr>
      </w:pPr>
      <w:r>
        <w:rPr>
          <w:sz w:val="28"/>
          <w:szCs w:val="28"/>
        </w:rPr>
        <w:t>Legacy Fund</w:t>
      </w:r>
    </w:p>
    <w:p w14:paraId="2F7EBD60" w14:textId="596A0BEA" w:rsidR="000A70A3" w:rsidRDefault="000A70A3" w:rsidP="000A70A3">
      <w:pPr>
        <w:pStyle w:val="ListParagraph"/>
        <w:ind w:left="1080"/>
        <w:rPr>
          <w:sz w:val="28"/>
          <w:szCs w:val="28"/>
        </w:rPr>
      </w:pPr>
    </w:p>
    <w:p w14:paraId="2382CB25" w14:textId="0317727F" w:rsidR="007C68AD" w:rsidRDefault="007C68AD" w:rsidP="003716F5">
      <w:pPr>
        <w:pStyle w:val="ListParagraph"/>
        <w:rPr>
          <w:sz w:val="28"/>
          <w:szCs w:val="28"/>
        </w:rPr>
      </w:pPr>
      <w:r>
        <w:rPr>
          <w:sz w:val="28"/>
          <w:szCs w:val="28"/>
        </w:rPr>
        <w:t>The committee di</w:t>
      </w:r>
      <w:r w:rsidR="00673902">
        <w:rPr>
          <w:sz w:val="28"/>
          <w:szCs w:val="28"/>
        </w:rPr>
        <w:t>d not identify and recommended edits to this policy.</w:t>
      </w:r>
    </w:p>
    <w:p w14:paraId="410EE606" w14:textId="739B4FAA" w:rsidR="00F273A4" w:rsidRDefault="00F273A4" w:rsidP="003716F5">
      <w:pPr>
        <w:pStyle w:val="ListParagraph"/>
        <w:rPr>
          <w:sz w:val="28"/>
          <w:szCs w:val="28"/>
        </w:rPr>
      </w:pPr>
    </w:p>
    <w:p w14:paraId="54FE8226" w14:textId="6D1D8857" w:rsidR="003B0ABF" w:rsidRPr="000A70A3" w:rsidRDefault="000708C7" w:rsidP="000A70A3">
      <w:pPr>
        <w:pStyle w:val="ListParagraph"/>
        <w:numPr>
          <w:ilvl w:val="0"/>
          <w:numId w:val="1"/>
        </w:numPr>
        <w:rPr>
          <w:sz w:val="28"/>
          <w:szCs w:val="28"/>
        </w:rPr>
      </w:pPr>
      <w:r>
        <w:rPr>
          <w:sz w:val="28"/>
          <w:szCs w:val="28"/>
        </w:rPr>
        <w:t>Statement of Investment</w:t>
      </w:r>
    </w:p>
    <w:p w14:paraId="6A949704" w14:textId="77777777" w:rsidR="0000044A" w:rsidRDefault="0000044A" w:rsidP="000A70A3">
      <w:pPr>
        <w:pStyle w:val="ListParagraph"/>
        <w:rPr>
          <w:sz w:val="28"/>
          <w:szCs w:val="28"/>
        </w:rPr>
      </w:pPr>
    </w:p>
    <w:p w14:paraId="53CF1F2C" w14:textId="12D2D71F" w:rsidR="002A2BA0" w:rsidRDefault="002A2BA0" w:rsidP="000A70A3">
      <w:pPr>
        <w:pStyle w:val="ListParagraph"/>
        <w:rPr>
          <w:sz w:val="28"/>
          <w:szCs w:val="28"/>
        </w:rPr>
      </w:pPr>
      <w:r>
        <w:rPr>
          <w:sz w:val="28"/>
          <w:szCs w:val="28"/>
        </w:rPr>
        <w:t>We discussed two parts of this policy.  First, on page 1, third paragraph under Delegation of Authority, we discussed whether to add a provision to this paragraph that urged caution in incurring extra financial expenses f</w:t>
      </w:r>
      <w:r w:rsidR="001B29FB">
        <w:rPr>
          <w:sz w:val="28"/>
          <w:szCs w:val="28"/>
        </w:rPr>
        <w:t>rom hiring</w:t>
      </w:r>
      <w:r>
        <w:rPr>
          <w:sz w:val="28"/>
          <w:szCs w:val="28"/>
        </w:rPr>
        <w:t xml:space="preserve"> professionals.   Because the paragraph says professionals “may” be hired, we decided not to recommend additional edits.</w:t>
      </w:r>
    </w:p>
    <w:p w14:paraId="271CCB47" w14:textId="16AF3524" w:rsidR="002A2BA0" w:rsidRDefault="002A2BA0" w:rsidP="000A70A3">
      <w:pPr>
        <w:pStyle w:val="ListParagraph"/>
        <w:rPr>
          <w:sz w:val="28"/>
          <w:szCs w:val="28"/>
        </w:rPr>
      </w:pPr>
    </w:p>
    <w:p w14:paraId="5A967174" w14:textId="77397D26" w:rsidR="002A2BA0" w:rsidRDefault="002A2BA0" w:rsidP="000A70A3">
      <w:pPr>
        <w:pStyle w:val="ListParagraph"/>
        <w:rPr>
          <w:sz w:val="28"/>
          <w:szCs w:val="28"/>
        </w:rPr>
      </w:pPr>
      <w:r w:rsidRPr="09B54CD2">
        <w:rPr>
          <w:sz w:val="28"/>
          <w:szCs w:val="28"/>
        </w:rPr>
        <w:t xml:space="preserve">The final paragraph of this policy (page 5, Investment Policy Review) requires the Executive Committee of the Board to annually review this policy and reaffirm.   </w:t>
      </w:r>
      <w:r w:rsidRPr="09B54CD2">
        <w:rPr>
          <w:b/>
          <w:bCs/>
          <w:sz w:val="28"/>
          <w:szCs w:val="28"/>
        </w:rPr>
        <w:t>We remind the Executive Committee to fulfill this duty this year.</w:t>
      </w:r>
      <w:r w:rsidRPr="09B54CD2">
        <w:rPr>
          <w:sz w:val="28"/>
          <w:szCs w:val="28"/>
        </w:rPr>
        <w:t xml:space="preserve">    We recommend that the Executive Committee discuss whether they might want to </w:t>
      </w:r>
      <w:r w:rsidR="008F2220" w:rsidRPr="09B54CD2">
        <w:rPr>
          <w:sz w:val="28"/>
          <w:szCs w:val="28"/>
        </w:rPr>
        <w:t>modify this annual review to include an annual consult with the investment advisor that includes the advisor’s review of this policy and consideration whether the advisor recommends any changes to the policy.</w:t>
      </w:r>
      <w:r w:rsidR="3C5D8C86" w:rsidRPr="09B54CD2">
        <w:rPr>
          <w:color w:val="00B050"/>
          <w:sz w:val="28"/>
          <w:szCs w:val="28"/>
        </w:rPr>
        <w:t xml:space="preserve">  The responsibility of pursuing and receiving an annual update </w:t>
      </w:r>
      <w:r w:rsidR="3C5D8C86" w:rsidRPr="09B54CD2">
        <w:rPr>
          <w:color w:val="00B050"/>
          <w:sz w:val="28"/>
          <w:szCs w:val="28"/>
        </w:rPr>
        <w:lastRenderedPageBreak/>
        <w:t>from the investment advisor rests with the Finance Committee, and is an annual process</w:t>
      </w:r>
      <w:r w:rsidR="031E09D3" w:rsidRPr="09B54CD2">
        <w:rPr>
          <w:color w:val="00B050"/>
          <w:sz w:val="28"/>
          <w:szCs w:val="28"/>
        </w:rPr>
        <w:t>, which meets the need requested herein</w:t>
      </w:r>
      <w:r w:rsidR="3C5D8C86" w:rsidRPr="09B54CD2">
        <w:rPr>
          <w:color w:val="00B050"/>
          <w:sz w:val="28"/>
          <w:szCs w:val="28"/>
        </w:rPr>
        <w:t>.</w:t>
      </w:r>
    </w:p>
    <w:p w14:paraId="2BFADA89" w14:textId="77777777" w:rsidR="002A2BA0" w:rsidRDefault="002A2BA0" w:rsidP="000A70A3">
      <w:pPr>
        <w:pStyle w:val="ListParagraph"/>
        <w:rPr>
          <w:sz w:val="28"/>
          <w:szCs w:val="28"/>
        </w:rPr>
      </w:pPr>
    </w:p>
    <w:p w14:paraId="6D38E85E" w14:textId="677A244A" w:rsidR="008C4914" w:rsidRPr="004A7D08" w:rsidRDefault="008C4914" w:rsidP="001B29FB">
      <w:pPr>
        <w:pStyle w:val="ListParagraph"/>
        <w:ind w:left="0"/>
        <w:rPr>
          <w:sz w:val="28"/>
          <w:szCs w:val="28"/>
        </w:rPr>
      </w:pPr>
      <w:r>
        <w:rPr>
          <w:sz w:val="28"/>
          <w:szCs w:val="28"/>
        </w:rPr>
        <w:t>Thereafter, the committee adjourned.</w:t>
      </w:r>
    </w:p>
    <w:p w14:paraId="34E9562F" w14:textId="468212E6" w:rsidR="00A7525B" w:rsidRPr="001B29FB" w:rsidRDefault="001B29FB" w:rsidP="001B29FB">
      <w:pPr>
        <w:rPr>
          <w:sz w:val="28"/>
          <w:szCs w:val="28"/>
        </w:rPr>
      </w:pPr>
      <w:r w:rsidRPr="001B29FB">
        <w:rPr>
          <w:sz w:val="28"/>
          <w:szCs w:val="28"/>
        </w:rPr>
        <w:t xml:space="preserve">Remaining 2023 committee </w:t>
      </w:r>
      <w:r w:rsidR="00A7525B" w:rsidRPr="001B29FB">
        <w:rPr>
          <w:sz w:val="28"/>
          <w:szCs w:val="28"/>
        </w:rPr>
        <w:t>meeting</w:t>
      </w:r>
      <w:r w:rsidR="00C94BA3" w:rsidRPr="001B29FB">
        <w:rPr>
          <w:sz w:val="28"/>
          <w:szCs w:val="28"/>
        </w:rPr>
        <w:t>s: Wednesday, May 24 and Wednesday, October 25</w:t>
      </w:r>
      <w:r w:rsidR="00A7525B" w:rsidRPr="001B29FB">
        <w:rPr>
          <w:sz w:val="28"/>
          <w:szCs w:val="28"/>
        </w:rPr>
        <w:t>.</w:t>
      </w:r>
    </w:p>
    <w:sectPr w:rsidR="00A7525B" w:rsidRPr="001B29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59B1" w14:textId="77777777" w:rsidR="003F450A" w:rsidRDefault="003F450A" w:rsidP="00BE55F2">
      <w:pPr>
        <w:spacing w:after="0" w:line="240" w:lineRule="auto"/>
      </w:pPr>
      <w:r>
        <w:separator/>
      </w:r>
    </w:p>
  </w:endnote>
  <w:endnote w:type="continuationSeparator" w:id="0">
    <w:p w14:paraId="07A3F4B5" w14:textId="77777777" w:rsidR="003F450A" w:rsidRDefault="003F450A" w:rsidP="00BE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003960"/>
      <w:docPartObj>
        <w:docPartGallery w:val="Page Numbers (Bottom of Page)"/>
        <w:docPartUnique/>
      </w:docPartObj>
    </w:sdtPr>
    <w:sdtContent>
      <w:sdt>
        <w:sdtPr>
          <w:id w:val="1728636285"/>
          <w:docPartObj>
            <w:docPartGallery w:val="Page Numbers (Top of Page)"/>
            <w:docPartUnique/>
          </w:docPartObj>
        </w:sdtPr>
        <w:sdtContent>
          <w:p w14:paraId="41B166D7" w14:textId="4F54939D" w:rsidR="000E705E" w:rsidRDefault="000E70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97C2F9" w14:textId="77777777" w:rsidR="000E705E" w:rsidRDefault="000E7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4C0B" w14:textId="77777777" w:rsidR="003F450A" w:rsidRDefault="003F450A" w:rsidP="00BE55F2">
      <w:pPr>
        <w:spacing w:after="0" w:line="240" w:lineRule="auto"/>
      </w:pPr>
      <w:r>
        <w:separator/>
      </w:r>
    </w:p>
  </w:footnote>
  <w:footnote w:type="continuationSeparator" w:id="0">
    <w:p w14:paraId="7EDBF09A" w14:textId="77777777" w:rsidR="003F450A" w:rsidRDefault="003F450A" w:rsidP="00BE5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4CB8"/>
    <w:multiLevelType w:val="hybridMultilevel"/>
    <w:tmpl w:val="D262AE58"/>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 w15:restartNumberingAfterBreak="0">
    <w:nsid w:val="38251B03"/>
    <w:multiLevelType w:val="hybridMultilevel"/>
    <w:tmpl w:val="E21A805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83F4EF7"/>
    <w:multiLevelType w:val="hybridMultilevel"/>
    <w:tmpl w:val="E5E4E0AC"/>
    <w:lvl w:ilvl="0" w:tplc="76BA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B711D3"/>
    <w:multiLevelType w:val="hybridMultilevel"/>
    <w:tmpl w:val="E710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4752360">
    <w:abstractNumId w:val="2"/>
  </w:num>
  <w:num w:numId="2" w16cid:durableId="1682976427">
    <w:abstractNumId w:val="1"/>
  </w:num>
  <w:num w:numId="3" w16cid:durableId="2104300794">
    <w:abstractNumId w:val="3"/>
  </w:num>
  <w:num w:numId="4" w16cid:durableId="212665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BF"/>
    <w:rsid w:val="0000044A"/>
    <w:rsid w:val="00034799"/>
    <w:rsid w:val="000708C7"/>
    <w:rsid w:val="00075F00"/>
    <w:rsid w:val="000A25D0"/>
    <w:rsid w:val="000A70A3"/>
    <w:rsid w:val="000B1DCB"/>
    <w:rsid w:val="000D1E12"/>
    <w:rsid w:val="000E705E"/>
    <w:rsid w:val="000E7608"/>
    <w:rsid w:val="001502E5"/>
    <w:rsid w:val="00162B4A"/>
    <w:rsid w:val="00186ED8"/>
    <w:rsid w:val="001B29FB"/>
    <w:rsid w:val="001C7208"/>
    <w:rsid w:val="001D028B"/>
    <w:rsid w:val="001D0F71"/>
    <w:rsid w:val="00205639"/>
    <w:rsid w:val="00214D07"/>
    <w:rsid w:val="00215B4D"/>
    <w:rsid w:val="00296E3D"/>
    <w:rsid w:val="002A2BA0"/>
    <w:rsid w:val="00323303"/>
    <w:rsid w:val="003716F5"/>
    <w:rsid w:val="00390BF8"/>
    <w:rsid w:val="003A7339"/>
    <w:rsid w:val="003B0ABF"/>
    <w:rsid w:val="003F450A"/>
    <w:rsid w:val="00420075"/>
    <w:rsid w:val="004A7D08"/>
    <w:rsid w:val="005436AB"/>
    <w:rsid w:val="0058064C"/>
    <w:rsid w:val="005A2468"/>
    <w:rsid w:val="005F6A98"/>
    <w:rsid w:val="0061039D"/>
    <w:rsid w:val="00622FB8"/>
    <w:rsid w:val="0064484C"/>
    <w:rsid w:val="00673902"/>
    <w:rsid w:val="00675A76"/>
    <w:rsid w:val="006A1E48"/>
    <w:rsid w:val="007832FC"/>
    <w:rsid w:val="007A013F"/>
    <w:rsid w:val="007C68AD"/>
    <w:rsid w:val="007F7F78"/>
    <w:rsid w:val="00835B2B"/>
    <w:rsid w:val="00856C3F"/>
    <w:rsid w:val="00865CAA"/>
    <w:rsid w:val="00882F38"/>
    <w:rsid w:val="00885DE5"/>
    <w:rsid w:val="008B1C9D"/>
    <w:rsid w:val="008C4914"/>
    <w:rsid w:val="008F2220"/>
    <w:rsid w:val="009564D2"/>
    <w:rsid w:val="009E1AA9"/>
    <w:rsid w:val="009F73FF"/>
    <w:rsid w:val="00A16C1B"/>
    <w:rsid w:val="00A41660"/>
    <w:rsid w:val="00A7501E"/>
    <w:rsid w:val="00A7525B"/>
    <w:rsid w:val="00B45B7D"/>
    <w:rsid w:val="00B864D0"/>
    <w:rsid w:val="00BC0463"/>
    <w:rsid w:val="00BC1EDD"/>
    <w:rsid w:val="00BE37F4"/>
    <w:rsid w:val="00BE55F2"/>
    <w:rsid w:val="00C94BA3"/>
    <w:rsid w:val="00CE0C9A"/>
    <w:rsid w:val="00CE4AEF"/>
    <w:rsid w:val="00D016C1"/>
    <w:rsid w:val="00D43FA6"/>
    <w:rsid w:val="00D5282B"/>
    <w:rsid w:val="00D81006"/>
    <w:rsid w:val="00D85D57"/>
    <w:rsid w:val="00DB0389"/>
    <w:rsid w:val="00DD60E4"/>
    <w:rsid w:val="00E01C06"/>
    <w:rsid w:val="00E02A84"/>
    <w:rsid w:val="00E25687"/>
    <w:rsid w:val="00E53A50"/>
    <w:rsid w:val="00EC4881"/>
    <w:rsid w:val="00EC5BB2"/>
    <w:rsid w:val="00EC6186"/>
    <w:rsid w:val="00EE37AC"/>
    <w:rsid w:val="00F13DCB"/>
    <w:rsid w:val="00F273A4"/>
    <w:rsid w:val="00F91981"/>
    <w:rsid w:val="031E09D3"/>
    <w:rsid w:val="0737686A"/>
    <w:rsid w:val="09B54CD2"/>
    <w:rsid w:val="26337644"/>
    <w:rsid w:val="383029FB"/>
    <w:rsid w:val="3C5D8C86"/>
    <w:rsid w:val="42EAAF06"/>
    <w:rsid w:val="4646BBE1"/>
    <w:rsid w:val="56631334"/>
    <w:rsid w:val="59A43513"/>
    <w:rsid w:val="75D7A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139C"/>
  <w15:chartTrackingRefBased/>
  <w15:docId w15:val="{D292F200-93C7-429D-B207-2A73EDD7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F2"/>
  </w:style>
  <w:style w:type="paragraph" w:styleId="Footer">
    <w:name w:val="footer"/>
    <w:basedOn w:val="Normal"/>
    <w:link w:val="FooterChar"/>
    <w:uiPriority w:val="99"/>
    <w:unhideWhenUsed/>
    <w:rsid w:val="00BE5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5F2"/>
  </w:style>
  <w:style w:type="paragraph" w:styleId="ListParagraph">
    <w:name w:val="List Paragraph"/>
    <w:basedOn w:val="Normal"/>
    <w:uiPriority w:val="34"/>
    <w:qFormat/>
    <w:rsid w:val="000A7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jodymay@mac.com</cp:lastModifiedBy>
  <cp:revision>2</cp:revision>
  <dcterms:created xsi:type="dcterms:W3CDTF">2023-02-03T17:33:00Z</dcterms:created>
  <dcterms:modified xsi:type="dcterms:W3CDTF">2023-02-03T17:33:00Z</dcterms:modified>
</cp:coreProperties>
</file>